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6" w:rsidRDefault="00FE4286">
      <w:pPr>
        <w:pStyle w:val="ConsPlusTitle"/>
        <w:widowControl/>
        <w:jc w:val="center"/>
        <w:outlineLvl w:val="0"/>
      </w:pPr>
      <w:r>
        <w:t>ПРАВИТЕЛЬСТВО РЕСПУБЛИКИ ХАКАСИЯ</w:t>
      </w:r>
    </w:p>
    <w:p w:rsidR="00FE4286" w:rsidRDefault="00FE4286">
      <w:pPr>
        <w:pStyle w:val="ConsPlusTitle"/>
        <w:widowControl/>
        <w:jc w:val="center"/>
      </w:pPr>
    </w:p>
    <w:p w:rsidR="00FE4286" w:rsidRDefault="00FE4286">
      <w:pPr>
        <w:pStyle w:val="ConsPlusTitle"/>
        <w:widowControl/>
        <w:jc w:val="center"/>
      </w:pPr>
      <w:r>
        <w:t>ПОСТАНОВЛЕНИЕ</w:t>
      </w:r>
    </w:p>
    <w:p w:rsidR="00FE4286" w:rsidRDefault="00FE4286">
      <w:pPr>
        <w:pStyle w:val="ConsPlusTitle"/>
        <w:widowControl/>
        <w:jc w:val="center"/>
      </w:pPr>
      <w:r>
        <w:t>от 9 ноября 2010 г. N 573</w:t>
      </w:r>
    </w:p>
    <w:p w:rsidR="00FE4286" w:rsidRDefault="00FE4286">
      <w:pPr>
        <w:pStyle w:val="ConsPlusTitle"/>
        <w:widowControl/>
        <w:jc w:val="center"/>
      </w:pPr>
    </w:p>
    <w:p w:rsidR="00FE4286" w:rsidRDefault="00FE4286">
      <w:pPr>
        <w:pStyle w:val="ConsPlusTitle"/>
        <w:widowControl/>
        <w:jc w:val="center"/>
      </w:pPr>
      <w:r>
        <w:t xml:space="preserve">ОБ УТВЕРЖДЕНИИ </w:t>
      </w:r>
      <w:proofErr w:type="gramStart"/>
      <w:r>
        <w:t>ДОЛГОСРОЧНОЙ</w:t>
      </w:r>
      <w:proofErr w:type="gramEnd"/>
      <w:r>
        <w:t xml:space="preserve"> РЕСПУБЛИКАНСКОЙ</w:t>
      </w:r>
    </w:p>
    <w:p w:rsidR="00FE4286" w:rsidRDefault="00FE4286">
      <w:pPr>
        <w:pStyle w:val="ConsPlusTitle"/>
        <w:widowControl/>
        <w:jc w:val="center"/>
      </w:pPr>
      <w:r>
        <w:t>ЦЕЛЕВОЙ ПРОГРАММЫ "ДОСТУПНАЯ СРЕДА ДЛЯ ИНВАЛИДОВ</w:t>
      </w:r>
    </w:p>
    <w:p w:rsidR="00FE4286" w:rsidRDefault="00FE4286">
      <w:pPr>
        <w:pStyle w:val="ConsPlusTitle"/>
        <w:widowControl/>
        <w:jc w:val="center"/>
      </w:pPr>
      <w:r>
        <w:t>В РЕСПУБЛИКЕ ХАКАСИЯ (2011 - 2013 ГОДЫ)"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>(в ред. Постановлений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 xml:space="preserve">от 05.10.2011 </w:t>
      </w:r>
      <w:hyperlink r:id="rId4" w:history="1">
        <w:r>
          <w:rPr>
            <w:color w:val="0000FF"/>
            <w:szCs w:val="26"/>
          </w:rPr>
          <w:t>N 641</w:t>
        </w:r>
      </w:hyperlink>
      <w:r>
        <w:rPr>
          <w:szCs w:val="26"/>
        </w:rPr>
        <w:t xml:space="preserve">, от 16.11.2011 </w:t>
      </w:r>
      <w:hyperlink r:id="rId5" w:history="1">
        <w:r>
          <w:rPr>
            <w:color w:val="0000FF"/>
            <w:szCs w:val="26"/>
          </w:rPr>
          <w:t>N 770</w:t>
        </w:r>
      </w:hyperlink>
      <w:r>
        <w:rPr>
          <w:szCs w:val="26"/>
        </w:rPr>
        <w:t>)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В целях формирования условий устойчивого развития доступной среды для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населения, повышения доступности реабилитационных услуг, в соответствии с </w:t>
      </w:r>
      <w:hyperlink r:id="rId6" w:history="1">
        <w:r>
          <w:rPr>
            <w:color w:val="0000FF"/>
            <w:szCs w:val="26"/>
          </w:rPr>
          <w:t>Постановлением</w:t>
        </w:r>
      </w:hyperlink>
      <w:r>
        <w:rPr>
          <w:szCs w:val="26"/>
        </w:rPr>
        <w:t xml:space="preserve"> Правительства Республики Хакасия от 11.06.2010 N 293 "О Порядке разработки, утверждения и реализации долгосрочных республиканских целевых программ Республики Хакасия" Правительство Республики Хакасия постановляет: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Утвердить прилагаемую долгосрочную республиканскую целевую </w:t>
      </w:r>
      <w:hyperlink r:id="rId7" w:history="1">
        <w:r>
          <w:rPr>
            <w:color w:val="0000FF"/>
            <w:szCs w:val="26"/>
          </w:rPr>
          <w:t>программу</w:t>
        </w:r>
      </w:hyperlink>
      <w:r>
        <w:rPr>
          <w:szCs w:val="26"/>
        </w:rPr>
        <w:t xml:space="preserve"> "Доступная среда для инвалидов в Республике Хакасия (2011 - 2013 годы)" (приложение).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Председатель Правительства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Республики Хакасия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В.ЗИМИН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6"/>
        </w:rPr>
      </w:pPr>
      <w:r>
        <w:rPr>
          <w:szCs w:val="26"/>
        </w:rPr>
        <w:t>Приложение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Утверждена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Постановлением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Правительства Республики Хакасия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от 09.11.2010 N 573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pStyle w:val="ConsPlusTitle"/>
        <w:widowControl/>
        <w:jc w:val="center"/>
      </w:pPr>
      <w:r>
        <w:t>ДОЛГОСРОЧНАЯ РЕСПУБЛИКАНСКАЯ ЦЕЛЕВАЯ ПРОГРАММА</w:t>
      </w:r>
    </w:p>
    <w:p w:rsidR="00FE4286" w:rsidRDefault="00FE4286">
      <w:pPr>
        <w:pStyle w:val="ConsPlusTitle"/>
        <w:widowControl/>
        <w:jc w:val="center"/>
      </w:pPr>
      <w:r>
        <w:t>"ДОСТУПНАЯ СРЕДА ДЛЯ ИНВАЛИДОВ В РЕСПУБЛИКЕ ХАКАСИЯ</w:t>
      </w:r>
    </w:p>
    <w:p w:rsidR="00FE4286" w:rsidRDefault="00FE4286">
      <w:pPr>
        <w:pStyle w:val="ConsPlusTitle"/>
        <w:widowControl/>
        <w:jc w:val="center"/>
      </w:pPr>
      <w:r>
        <w:t>(2011 - 2013 ГОДЫ)"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>(в ред. Постановлений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 xml:space="preserve">от 05.10.2011 </w:t>
      </w:r>
      <w:hyperlink r:id="rId8" w:history="1">
        <w:r>
          <w:rPr>
            <w:color w:val="0000FF"/>
            <w:szCs w:val="26"/>
          </w:rPr>
          <w:t>N 641</w:t>
        </w:r>
      </w:hyperlink>
      <w:r>
        <w:rPr>
          <w:szCs w:val="26"/>
        </w:rPr>
        <w:t xml:space="preserve">, от 16.11.2011 </w:t>
      </w:r>
      <w:hyperlink r:id="rId9" w:history="1">
        <w:r>
          <w:rPr>
            <w:color w:val="0000FF"/>
            <w:szCs w:val="26"/>
          </w:rPr>
          <w:t>N 770</w:t>
        </w:r>
      </w:hyperlink>
      <w:r>
        <w:rPr>
          <w:szCs w:val="26"/>
        </w:rPr>
        <w:t>)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ПАСПОРТ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долгосрочной республиканской целевой программы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"Доступная среда для инвалидов в Республике Хакасия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lastRenderedPageBreak/>
        <w:t>(2011 - 2013 годы)"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pStyle w:val="ConsPlusNonformat"/>
        <w:widowControl/>
      </w:pPr>
      <w:r>
        <w:t xml:space="preserve">    Наименование         - долгосрочная республиканская целевая программа</w:t>
      </w:r>
    </w:p>
    <w:p w:rsidR="00FE4286" w:rsidRDefault="00FE4286">
      <w:pPr>
        <w:pStyle w:val="ConsPlusNonformat"/>
        <w:widowControl/>
      </w:pPr>
      <w:r>
        <w:t xml:space="preserve">                         "Доступная среда для инвалидов в Республике</w:t>
      </w:r>
    </w:p>
    <w:p w:rsidR="00FE4286" w:rsidRDefault="00FE4286">
      <w:pPr>
        <w:pStyle w:val="ConsPlusNonformat"/>
        <w:widowControl/>
      </w:pPr>
      <w:r>
        <w:t xml:space="preserve">                         Хакасия (2011 - 2013 годы)"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Дата принятия       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</w:t>
      </w:r>
    </w:p>
    <w:p w:rsidR="00FE4286" w:rsidRDefault="00FE4286">
      <w:pPr>
        <w:pStyle w:val="ConsPlusNonformat"/>
        <w:widowControl/>
      </w:pPr>
      <w:r>
        <w:t xml:space="preserve">    решения о разработке от 21.09.2010 N 484 "О </w:t>
      </w:r>
      <w:proofErr w:type="gramStart"/>
      <w:r>
        <w:t>долгосрочных</w:t>
      </w:r>
      <w:proofErr w:type="gramEnd"/>
      <w:r>
        <w:t xml:space="preserve"> Республики</w:t>
      </w:r>
    </w:p>
    <w:p w:rsidR="00FE4286" w:rsidRDefault="00FE4286">
      <w:pPr>
        <w:pStyle w:val="ConsPlusNonformat"/>
        <w:widowControl/>
      </w:pPr>
      <w:r>
        <w:t xml:space="preserve">                         Хакасия на 2011 год и на плановый период 2012 -</w:t>
      </w:r>
    </w:p>
    <w:p w:rsidR="00FE4286" w:rsidRDefault="00FE4286">
      <w:pPr>
        <w:pStyle w:val="ConsPlusNonformat"/>
        <w:widowControl/>
      </w:pPr>
      <w:r>
        <w:t xml:space="preserve">                         2013 годов"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</w:t>
      </w:r>
      <w:proofErr w:type="gramStart"/>
      <w:r>
        <w:t>Государственный</w:t>
      </w:r>
      <w:proofErr w:type="gramEnd"/>
      <w:r>
        <w:t xml:space="preserve">      - Министерство труда и социального развития</w:t>
      </w:r>
    </w:p>
    <w:p w:rsidR="00FE4286" w:rsidRDefault="00FE4286">
      <w:pPr>
        <w:pStyle w:val="ConsPlusNonformat"/>
        <w:widowControl/>
      </w:pPr>
      <w:r>
        <w:t xml:space="preserve">    заказчик-координатор Республики Хакасия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</w:t>
      </w:r>
      <w:proofErr w:type="gramStart"/>
      <w:r>
        <w:t>Государственные      - Министерство труда и социального развития</w:t>
      </w:r>
      <w:proofErr w:type="gramEnd"/>
    </w:p>
    <w:p w:rsidR="00FE4286" w:rsidRDefault="00FE4286">
      <w:pPr>
        <w:pStyle w:val="ConsPlusNonformat"/>
        <w:widowControl/>
      </w:pPr>
      <w:r>
        <w:t xml:space="preserve">    заказчики            Республики Хакасия; Министерство культуры</w:t>
      </w:r>
    </w:p>
    <w:p w:rsidR="00FE4286" w:rsidRDefault="00FE4286">
      <w:pPr>
        <w:pStyle w:val="ConsPlusNonformat"/>
        <w:widowControl/>
      </w:pPr>
      <w:r>
        <w:t xml:space="preserve">                         Республики Хакасия; Министерство образования и</w:t>
      </w:r>
    </w:p>
    <w:p w:rsidR="00FE4286" w:rsidRDefault="00FE4286">
      <w:pPr>
        <w:pStyle w:val="ConsPlusNonformat"/>
        <w:widowControl/>
      </w:pPr>
      <w:r>
        <w:t xml:space="preserve">                         науки Республики Хакасия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Цель                 - формирование условий устойчивого развития</w:t>
      </w:r>
    </w:p>
    <w:p w:rsidR="00FE4286" w:rsidRDefault="00FE4286">
      <w:pPr>
        <w:pStyle w:val="ConsPlusNonformat"/>
        <w:widowControl/>
      </w:pPr>
      <w:r>
        <w:t xml:space="preserve">                         доступной среды для инвалидов и других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Задачи               - изучение и анализ доступности среды </w:t>
      </w:r>
      <w:proofErr w:type="gramStart"/>
      <w:r>
        <w:t>для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FE4286" w:rsidRDefault="00FE4286">
      <w:pPr>
        <w:pStyle w:val="ConsPlusNonformat"/>
        <w:widowControl/>
      </w:pPr>
      <w:r>
        <w:t xml:space="preserve">                         на территории Республики Хакасия;</w:t>
      </w:r>
    </w:p>
    <w:p w:rsidR="00FE4286" w:rsidRDefault="00FE4286">
      <w:pPr>
        <w:pStyle w:val="ConsPlusNonformat"/>
        <w:widowControl/>
      </w:pPr>
      <w:r>
        <w:t xml:space="preserve">                         обеспечение доступности в приоритетных сферах</w:t>
      </w:r>
    </w:p>
    <w:p w:rsidR="00FE4286" w:rsidRDefault="00FE4286">
      <w:pPr>
        <w:pStyle w:val="ConsPlusNonformat"/>
        <w:widowControl/>
      </w:pPr>
      <w:r>
        <w:t xml:space="preserve">                         жизнедеятельности инвалидов и </w:t>
      </w:r>
      <w:proofErr w:type="spellStart"/>
      <w:r>
        <w:t>маломобильных</w:t>
      </w:r>
      <w:proofErr w:type="spellEnd"/>
      <w:r>
        <w:t xml:space="preserve"> групп</w:t>
      </w:r>
    </w:p>
    <w:p w:rsidR="00FE4286" w:rsidRDefault="00FE4286">
      <w:pPr>
        <w:pStyle w:val="ConsPlusNonformat"/>
        <w:widowControl/>
      </w:pPr>
      <w:r>
        <w:t xml:space="preserve">                         населения;</w:t>
      </w:r>
    </w:p>
    <w:p w:rsidR="00FE4286" w:rsidRDefault="00FE4286">
      <w:pPr>
        <w:pStyle w:val="ConsPlusNonformat"/>
        <w:widowControl/>
      </w:pPr>
      <w:r>
        <w:t xml:space="preserve">                         развитие предоставления услуг в сфере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spellStart"/>
      <w:r>
        <w:t>социокультурной</w:t>
      </w:r>
      <w:proofErr w:type="spellEnd"/>
      <w:r>
        <w:t xml:space="preserve"> реабилитации, </w:t>
      </w:r>
      <w:proofErr w:type="gramStart"/>
      <w:r>
        <w:t>социального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обслуживания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Показатели           - удельный вес жилых помещений, в которых</w:t>
      </w:r>
    </w:p>
    <w:p w:rsidR="00FE4286" w:rsidRDefault="00FE4286">
      <w:pPr>
        <w:pStyle w:val="ConsPlusNonformat"/>
        <w:widowControl/>
      </w:pPr>
      <w:r>
        <w:t xml:space="preserve">    результативности     проживают люди с нарушением опорно-двигательного</w:t>
      </w:r>
    </w:p>
    <w:p w:rsidR="00FE4286" w:rsidRDefault="00FE4286">
      <w:pPr>
        <w:pStyle w:val="ConsPlusNonformat"/>
        <w:widowControl/>
      </w:pPr>
      <w:r>
        <w:t xml:space="preserve">    </w:t>
      </w:r>
      <w:proofErr w:type="gramStart"/>
      <w:r>
        <w:t>(целевые             аппарата, в которых проведена паспортизация,</w:t>
      </w:r>
      <w:proofErr w:type="gramEnd"/>
    </w:p>
    <w:p w:rsidR="00FE4286" w:rsidRDefault="00FE4286">
      <w:pPr>
        <w:pStyle w:val="ConsPlusNonformat"/>
        <w:widowControl/>
      </w:pPr>
      <w:r>
        <w:t xml:space="preserve">    индикаторы)          по годам: 2011 - 35%, 2012 - 65%, 2013 - 95%;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помещений территориальных управлений</w:t>
      </w:r>
    </w:p>
    <w:p w:rsidR="00FE4286" w:rsidRDefault="00FE4286">
      <w:pPr>
        <w:pStyle w:val="ConsPlusNonformat"/>
        <w:widowControl/>
      </w:pPr>
      <w:r>
        <w:t xml:space="preserve">                         социальной поддержки населения Республики Хакасия,</w:t>
      </w:r>
    </w:p>
    <w:p w:rsidR="00FE4286" w:rsidRDefault="00FE4286">
      <w:pPr>
        <w:pStyle w:val="ConsPlusNonformat"/>
        <w:widowControl/>
      </w:pPr>
      <w:r>
        <w:t xml:space="preserve">                         оборудованных для нужд инвалидов, по годам: 2011 -</w:t>
      </w:r>
    </w:p>
    <w:p w:rsidR="00FE4286" w:rsidRDefault="00FE4286">
      <w:pPr>
        <w:pStyle w:val="ConsPlusNonformat"/>
        <w:widowControl/>
      </w:pPr>
      <w:r>
        <w:t xml:space="preserve">                         1 единица, 2012 - 1 единица, 2013 - 2 единицы;</w:t>
      </w:r>
    </w:p>
    <w:p w:rsidR="00FE4286" w:rsidRDefault="00FE4286">
      <w:pPr>
        <w:pStyle w:val="ConsPlusNonformat"/>
        <w:widowControl/>
      </w:pPr>
      <w:r>
        <w:t xml:space="preserve">                         удельный вес лиц, не имеющих группы инвалидности,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gramStart"/>
      <w:r>
        <w:t>получивших</w:t>
      </w:r>
      <w:proofErr w:type="gramEnd"/>
      <w:r>
        <w:t xml:space="preserve"> 50% скидку на протезирование,</w:t>
      </w:r>
    </w:p>
    <w:p w:rsidR="00FE4286" w:rsidRDefault="00FE4286">
      <w:pPr>
        <w:pStyle w:val="ConsPlusNonformat"/>
        <w:widowControl/>
      </w:pPr>
      <w:r>
        <w:t xml:space="preserve">                         протезно-ортопедические изделия, по годам: 2011 -</w:t>
      </w:r>
    </w:p>
    <w:p w:rsidR="00FE4286" w:rsidRDefault="00FE4286">
      <w:pPr>
        <w:pStyle w:val="ConsPlusNonformat"/>
        <w:widowControl/>
      </w:pPr>
      <w:r>
        <w:t xml:space="preserve">                         100%, 2012 - 100%, 2013 - 100%;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</w:t>
      </w:r>
      <w:proofErr w:type="gramStart"/>
      <w:r>
        <w:t>республиканских</w:t>
      </w:r>
      <w:proofErr w:type="gramEnd"/>
      <w:r>
        <w:t xml:space="preserve"> специальных</w:t>
      </w:r>
    </w:p>
    <w:p w:rsidR="00FE4286" w:rsidRDefault="00FE4286">
      <w:pPr>
        <w:pStyle w:val="ConsPlusNonformat"/>
        <w:widowControl/>
      </w:pPr>
      <w:r>
        <w:t xml:space="preserve">                         (коррекционных) образовательных учреждений,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gramStart"/>
      <w:r>
        <w:t>оборудованных</w:t>
      </w:r>
      <w:proofErr w:type="gramEnd"/>
      <w:r>
        <w:t xml:space="preserve"> пандусами, подъездами, по годам:</w:t>
      </w:r>
    </w:p>
    <w:p w:rsidR="00FE4286" w:rsidRDefault="00FE4286">
      <w:pPr>
        <w:pStyle w:val="ConsPlusNonformat"/>
        <w:widowControl/>
      </w:pPr>
      <w:r>
        <w:t xml:space="preserve">                         2011 - 1 единица, 2012 - 2 единицы, 2013 -</w:t>
      </w:r>
    </w:p>
    <w:p w:rsidR="00FE4286" w:rsidRDefault="00FE4286">
      <w:pPr>
        <w:pStyle w:val="ConsPlusNonformat"/>
        <w:widowControl/>
      </w:pPr>
      <w:r>
        <w:t xml:space="preserve">                         1 единица;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специалистов, работающих с инвалидами </w:t>
      </w:r>
      <w:proofErr w:type="gramStart"/>
      <w:r>
        <w:t>в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системе социальной защиты населения, </w:t>
      </w:r>
      <w:proofErr w:type="gramStart"/>
      <w:r>
        <w:t>повысивших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уровень своей квалификации, по годам: 2012 - 20</w:t>
      </w:r>
    </w:p>
    <w:p w:rsidR="00FE4286" w:rsidRDefault="00FE4286">
      <w:pPr>
        <w:pStyle w:val="ConsPlusNonformat"/>
        <w:widowControl/>
      </w:pPr>
      <w:r>
        <w:t xml:space="preserve">                         чел., 2013 - 20 чел.;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инвалидов с нарушением </w:t>
      </w:r>
      <w:proofErr w:type="spellStart"/>
      <w:r>
        <w:t>опорно</w:t>
      </w:r>
      <w:proofErr w:type="spellEnd"/>
      <w:r>
        <w:t>-</w:t>
      </w:r>
    </w:p>
    <w:p w:rsidR="00FE4286" w:rsidRDefault="00FE4286">
      <w:pPr>
        <w:pStyle w:val="ConsPlusNonformat"/>
        <w:widowControl/>
      </w:pPr>
      <w:r>
        <w:t xml:space="preserve">                         двигательного аппарата, </w:t>
      </w:r>
      <w:proofErr w:type="gramStart"/>
      <w:r>
        <w:t>получивших</w:t>
      </w:r>
      <w:proofErr w:type="gramEnd"/>
      <w:r>
        <w:t xml:space="preserve"> транспортные</w:t>
      </w:r>
    </w:p>
    <w:p w:rsidR="00FE4286" w:rsidRDefault="00FE4286">
      <w:pPr>
        <w:pStyle w:val="ConsPlusNonformat"/>
        <w:widowControl/>
      </w:pPr>
      <w:r>
        <w:t xml:space="preserve">                         услуги, по годам: 2012 - 560 чел., 2013 -</w:t>
      </w:r>
    </w:p>
    <w:p w:rsidR="00FE4286" w:rsidRDefault="00FE4286">
      <w:pPr>
        <w:pStyle w:val="ConsPlusNonformat"/>
        <w:widowControl/>
      </w:pPr>
      <w:r>
        <w:t xml:space="preserve">                         840 чел.;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инвалидов, передвигающихся на колясках,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gramStart"/>
      <w:r>
        <w:t>получивших</w:t>
      </w:r>
      <w:proofErr w:type="gramEnd"/>
      <w:r>
        <w:t xml:space="preserve"> материальную помощь для приспособления</w:t>
      </w:r>
    </w:p>
    <w:p w:rsidR="00FE4286" w:rsidRDefault="00FE4286">
      <w:pPr>
        <w:pStyle w:val="ConsPlusNonformat"/>
        <w:widowControl/>
      </w:pPr>
      <w:r>
        <w:t xml:space="preserve">                         жилого помещения, по годам: 2012 - 100 чел.,</w:t>
      </w:r>
    </w:p>
    <w:p w:rsidR="00FE4286" w:rsidRDefault="00FE4286">
      <w:pPr>
        <w:pStyle w:val="ConsPlusNonformat"/>
        <w:widowControl/>
      </w:pPr>
      <w:r>
        <w:t xml:space="preserve">                         2013 - 100 чел.;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инвалидов, принявших участие </w:t>
      </w:r>
      <w:proofErr w:type="gramStart"/>
      <w:r>
        <w:t>в</w:t>
      </w:r>
      <w:proofErr w:type="gramEnd"/>
    </w:p>
    <w:p w:rsidR="00FE4286" w:rsidRDefault="00FE4286">
      <w:pPr>
        <w:pStyle w:val="ConsPlusNonformat"/>
        <w:widowControl/>
      </w:pPr>
      <w:r>
        <w:lastRenderedPageBreak/>
        <w:t xml:space="preserve">                         </w:t>
      </w:r>
      <w:proofErr w:type="spellStart"/>
      <w:r>
        <w:t>социокультурных</w:t>
      </w:r>
      <w:proofErr w:type="spellEnd"/>
      <w:r>
        <w:t xml:space="preserve"> </w:t>
      </w:r>
      <w:proofErr w:type="gramStart"/>
      <w:r>
        <w:t>мероприятиях</w:t>
      </w:r>
      <w:proofErr w:type="gramEnd"/>
      <w:r>
        <w:t>, по годам: 2011 - 300</w:t>
      </w:r>
    </w:p>
    <w:p w:rsidR="00FE4286" w:rsidRDefault="00FE4286">
      <w:pPr>
        <w:pStyle w:val="ConsPlusNonformat"/>
        <w:widowControl/>
      </w:pPr>
      <w:r>
        <w:t xml:space="preserve">                         чел., 2012 - 330 чел., 2013 - 360 чел.;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инвалидов, принявших участие </w:t>
      </w:r>
      <w:proofErr w:type="gramStart"/>
      <w:r>
        <w:t>в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физкультурно-оздоровительных </w:t>
      </w:r>
      <w:proofErr w:type="gramStart"/>
      <w:r>
        <w:t>мероприятиях</w:t>
      </w:r>
      <w:proofErr w:type="gramEnd"/>
      <w:r>
        <w:t>: 2011 -</w:t>
      </w:r>
    </w:p>
    <w:p w:rsidR="00FE4286" w:rsidRDefault="00FE4286">
      <w:pPr>
        <w:pStyle w:val="ConsPlusNonformat"/>
        <w:widowControl/>
      </w:pPr>
      <w:r>
        <w:t xml:space="preserve">                         60 чел., 2012 - 65 чел., 2013 - 70 чел.</w:t>
      </w:r>
    </w:p>
    <w:p w:rsidR="00FE4286" w:rsidRDefault="00FE4286">
      <w:pPr>
        <w:pStyle w:val="ConsPlusNonformat"/>
        <w:widowControl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05.10.2011 N 641)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Сроки и этапы        - 2011 - 2013 годы</w:t>
      </w:r>
    </w:p>
    <w:p w:rsidR="00FE4286" w:rsidRDefault="00FE4286">
      <w:pPr>
        <w:pStyle w:val="ConsPlusNonformat"/>
        <w:widowControl/>
      </w:pPr>
      <w:r>
        <w:t xml:space="preserve">    реализации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Объемы и             - общий объем финансирования Программы из средств</w:t>
      </w:r>
    </w:p>
    <w:p w:rsidR="00FE4286" w:rsidRDefault="00FE4286">
      <w:pPr>
        <w:pStyle w:val="ConsPlusNonformat"/>
        <w:widowControl/>
      </w:pPr>
      <w:r>
        <w:t xml:space="preserve">    источники            республиканского бюджета Республики Хакасия</w:t>
      </w:r>
    </w:p>
    <w:p w:rsidR="00FE4286" w:rsidRDefault="00FE4286">
      <w:pPr>
        <w:pStyle w:val="ConsPlusNonformat"/>
        <w:widowControl/>
      </w:pPr>
      <w:r>
        <w:t xml:space="preserve">    финансирования       составляет 14820,0 тыс. рублей, в том числе 2011</w:t>
      </w:r>
    </w:p>
    <w:p w:rsidR="00FE4286" w:rsidRDefault="00FE4286">
      <w:pPr>
        <w:pStyle w:val="ConsPlusNonformat"/>
        <w:widowControl/>
      </w:pPr>
      <w:r>
        <w:t xml:space="preserve">                         год - 1716,0 тыс. рублей; 2012 год - 6053,0 тыс.</w:t>
      </w:r>
    </w:p>
    <w:p w:rsidR="00FE4286" w:rsidRDefault="00FE4286">
      <w:pPr>
        <w:pStyle w:val="ConsPlusNonformat"/>
        <w:widowControl/>
      </w:pPr>
      <w:r>
        <w:t xml:space="preserve">                         рублей; 2013 год - 7051,0 тыс. рублей</w:t>
      </w:r>
    </w:p>
    <w:p w:rsidR="00FE4286" w:rsidRDefault="00FE4286">
      <w:pPr>
        <w:pStyle w:val="ConsPlusNonformat"/>
        <w:widowControl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05.10.2011 N 641)</w:t>
      </w:r>
    </w:p>
    <w:p w:rsidR="00FE4286" w:rsidRDefault="00FE4286">
      <w:pPr>
        <w:pStyle w:val="ConsPlusNonformat"/>
        <w:widowControl/>
      </w:pPr>
    </w:p>
    <w:p w:rsidR="00FE4286" w:rsidRDefault="00FE4286">
      <w:pPr>
        <w:pStyle w:val="ConsPlusNonformat"/>
        <w:widowControl/>
      </w:pPr>
      <w:r>
        <w:t xml:space="preserve">    </w:t>
      </w:r>
      <w:proofErr w:type="gramStart"/>
      <w:r>
        <w:t>Ожидаемые            - паспортизация 95% жилых помещений (около</w:t>
      </w:r>
      <w:proofErr w:type="gramEnd"/>
    </w:p>
    <w:p w:rsidR="00FE4286" w:rsidRDefault="00FE4286">
      <w:pPr>
        <w:pStyle w:val="ConsPlusNonformat"/>
        <w:widowControl/>
      </w:pPr>
      <w:r>
        <w:t xml:space="preserve">    </w:t>
      </w:r>
      <w:proofErr w:type="gramStart"/>
      <w:r>
        <w:t>конечные             1 тыс.), в которых проживают люди с нарушением</w:t>
      </w:r>
      <w:proofErr w:type="gramEnd"/>
    </w:p>
    <w:p w:rsidR="00FE4286" w:rsidRDefault="00FE4286">
      <w:pPr>
        <w:pStyle w:val="ConsPlusNonformat"/>
        <w:widowControl/>
      </w:pPr>
      <w:r>
        <w:t xml:space="preserve">    результаты           опорно-двигательного аппарата, с целью изучения</w:t>
      </w:r>
    </w:p>
    <w:p w:rsidR="00FE4286" w:rsidRDefault="00FE4286">
      <w:pPr>
        <w:pStyle w:val="ConsPlusNonformat"/>
        <w:widowControl/>
      </w:pPr>
      <w:r>
        <w:t xml:space="preserve">    реализации           потребности в приспособлении жилого помещения </w:t>
      </w:r>
      <w:proofErr w:type="gramStart"/>
      <w:r>
        <w:t>к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нуждам инвалида;</w:t>
      </w:r>
    </w:p>
    <w:p w:rsidR="00FE4286" w:rsidRDefault="00FE4286">
      <w:pPr>
        <w:pStyle w:val="ConsPlusNonformat"/>
        <w:widowControl/>
      </w:pPr>
      <w:r>
        <w:t xml:space="preserve">                         обеспечение доступности четырех зданий</w:t>
      </w:r>
    </w:p>
    <w:p w:rsidR="00FE4286" w:rsidRDefault="00FE4286">
      <w:pPr>
        <w:pStyle w:val="ConsPlusNonformat"/>
        <w:widowControl/>
      </w:pPr>
      <w:r>
        <w:t xml:space="preserve">                         территориальных управлений социальной поддержки</w:t>
      </w:r>
    </w:p>
    <w:p w:rsidR="00FE4286" w:rsidRDefault="00FE4286">
      <w:pPr>
        <w:pStyle w:val="ConsPlusNonformat"/>
        <w:widowControl/>
      </w:pPr>
      <w:r>
        <w:t xml:space="preserve">                         населения Республики Хакасия для людей </w:t>
      </w:r>
      <w:proofErr w:type="gramStart"/>
      <w:r>
        <w:t>с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нарушением опорно-двигательного аппарата</w:t>
      </w:r>
    </w:p>
    <w:p w:rsidR="00FE4286" w:rsidRDefault="00FE4286">
      <w:pPr>
        <w:pStyle w:val="ConsPlusNonformat"/>
        <w:widowControl/>
      </w:pPr>
      <w:r>
        <w:t xml:space="preserve">                         и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FE4286" w:rsidRDefault="00FE4286">
      <w:pPr>
        <w:pStyle w:val="ConsPlusNonformat"/>
        <w:widowControl/>
      </w:pPr>
      <w:r>
        <w:t xml:space="preserve">                         обеспечение доступности четырех зданий</w:t>
      </w:r>
    </w:p>
    <w:p w:rsidR="00FE4286" w:rsidRDefault="00FE4286">
      <w:pPr>
        <w:pStyle w:val="ConsPlusNonformat"/>
        <w:widowControl/>
      </w:pPr>
      <w:r>
        <w:t xml:space="preserve">                         республиканских специальных (коррекционных)</w:t>
      </w:r>
    </w:p>
    <w:p w:rsidR="00FE4286" w:rsidRDefault="00FE4286">
      <w:pPr>
        <w:pStyle w:val="ConsPlusNonformat"/>
        <w:widowControl/>
      </w:pPr>
      <w:r>
        <w:t xml:space="preserve">                         образовательных учреждений для детей </w:t>
      </w:r>
      <w:proofErr w:type="gramStart"/>
      <w:r>
        <w:t>с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ограниченными возможностями;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специалистов, работающих с инвалидами </w:t>
      </w:r>
      <w:proofErr w:type="gramStart"/>
      <w:r>
        <w:t>в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системе социальной защиты населения, </w:t>
      </w:r>
      <w:proofErr w:type="gramStart"/>
      <w:r>
        <w:t>повысивших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уровень квалификации, - 40 чел.;</w:t>
      </w:r>
    </w:p>
    <w:p w:rsidR="00FE4286" w:rsidRDefault="00FE4286">
      <w:pPr>
        <w:pStyle w:val="ConsPlusNonformat"/>
        <w:widowControl/>
      </w:pPr>
      <w:r>
        <w:t xml:space="preserve">                         увеличение количества инвалидов с нарушением</w:t>
      </w:r>
    </w:p>
    <w:p w:rsidR="00FE4286" w:rsidRDefault="00FE4286">
      <w:pPr>
        <w:pStyle w:val="ConsPlusNonformat"/>
        <w:widowControl/>
      </w:pPr>
      <w:r>
        <w:t xml:space="preserve">                         опорно-двигательного аппарата, </w:t>
      </w:r>
      <w:proofErr w:type="gramStart"/>
      <w:r>
        <w:t>получивших</w:t>
      </w:r>
      <w:proofErr w:type="gramEnd"/>
    </w:p>
    <w:p w:rsidR="00FE4286" w:rsidRDefault="00FE4286">
      <w:pPr>
        <w:pStyle w:val="ConsPlusNonformat"/>
        <w:widowControl/>
      </w:pPr>
      <w:r>
        <w:t xml:space="preserve">                         транспортные услуги, до 840 чел.;</w:t>
      </w:r>
    </w:p>
    <w:p w:rsidR="00FE4286" w:rsidRDefault="00FE4286">
      <w:pPr>
        <w:pStyle w:val="ConsPlusNonformat"/>
        <w:widowControl/>
      </w:pPr>
      <w:r>
        <w:t xml:space="preserve">                         количество инвалидов, передвигающихся на колясках,</w:t>
      </w:r>
    </w:p>
    <w:p w:rsidR="00FE4286" w:rsidRDefault="00FE4286">
      <w:pPr>
        <w:pStyle w:val="ConsPlusNonformat"/>
        <w:widowControl/>
      </w:pPr>
      <w:r>
        <w:t xml:space="preserve">                         </w:t>
      </w:r>
      <w:proofErr w:type="gramStart"/>
      <w:r>
        <w:t>получивших</w:t>
      </w:r>
      <w:proofErr w:type="gramEnd"/>
      <w:r>
        <w:t xml:space="preserve"> материальную помощь для приспособления</w:t>
      </w:r>
    </w:p>
    <w:p w:rsidR="00FE4286" w:rsidRDefault="00FE4286">
      <w:pPr>
        <w:pStyle w:val="ConsPlusNonformat"/>
        <w:widowControl/>
      </w:pPr>
      <w:r>
        <w:t xml:space="preserve">                         жилого помещения, - 200 чел.;</w:t>
      </w:r>
    </w:p>
    <w:p w:rsidR="00FE4286" w:rsidRDefault="00FE4286">
      <w:pPr>
        <w:pStyle w:val="ConsPlusNonformat"/>
        <w:widowControl/>
      </w:pPr>
      <w:r>
        <w:t xml:space="preserve">                         обеспечение 100% граждан, не являющихся</w:t>
      </w:r>
    </w:p>
    <w:p w:rsidR="00FE4286" w:rsidRDefault="00FE4286">
      <w:pPr>
        <w:pStyle w:val="ConsPlusNonformat"/>
        <w:widowControl/>
      </w:pPr>
      <w:r>
        <w:t xml:space="preserve">                         инвалидами, </w:t>
      </w:r>
      <w:proofErr w:type="gramStart"/>
      <w:r>
        <w:t>нуждающихся</w:t>
      </w:r>
      <w:proofErr w:type="gramEnd"/>
      <w:r>
        <w:t xml:space="preserve"> в протезировании,</w:t>
      </w:r>
    </w:p>
    <w:p w:rsidR="00FE4286" w:rsidRDefault="00FE4286">
      <w:pPr>
        <w:pStyle w:val="ConsPlusNonformat"/>
        <w:widowControl/>
      </w:pPr>
      <w:r>
        <w:t xml:space="preserve">                         протезно-ортопедическими изделиями с 50% скидкой,</w:t>
      </w:r>
    </w:p>
    <w:p w:rsidR="00FE4286" w:rsidRDefault="00FE4286">
      <w:pPr>
        <w:pStyle w:val="ConsPlusNonformat"/>
        <w:widowControl/>
      </w:pPr>
      <w:r>
        <w:t xml:space="preserve">                         ежегодно;</w:t>
      </w:r>
    </w:p>
    <w:p w:rsidR="00FE4286" w:rsidRDefault="00FE4286">
      <w:pPr>
        <w:pStyle w:val="ConsPlusNonformat"/>
        <w:widowControl/>
      </w:pPr>
      <w:r>
        <w:t xml:space="preserve">                         увеличение количества инвалидов, принявших участие</w:t>
      </w:r>
    </w:p>
    <w:p w:rsidR="00FE4286" w:rsidRDefault="00FE4286">
      <w:pPr>
        <w:pStyle w:val="ConsPlusNonformat"/>
        <w:widowControl/>
      </w:pPr>
      <w:r>
        <w:t xml:space="preserve">                         в </w:t>
      </w:r>
      <w:proofErr w:type="spellStart"/>
      <w:r>
        <w:t>социокультурных</w:t>
      </w:r>
      <w:proofErr w:type="spellEnd"/>
      <w:r>
        <w:t xml:space="preserve"> мероприятиях, до 360 чел.;</w:t>
      </w:r>
    </w:p>
    <w:p w:rsidR="00FE4286" w:rsidRDefault="00FE4286">
      <w:pPr>
        <w:pStyle w:val="ConsPlusNonformat"/>
        <w:widowControl/>
      </w:pPr>
      <w:r>
        <w:t xml:space="preserve">                         увеличение количества инвалидов, принявших участие</w:t>
      </w:r>
    </w:p>
    <w:p w:rsidR="00FE4286" w:rsidRDefault="00FE4286">
      <w:pPr>
        <w:pStyle w:val="ConsPlusNonformat"/>
        <w:widowControl/>
      </w:pPr>
      <w:r>
        <w:t xml:space="preserve">                         в физкультурно-оздоровительных мероприятиях, до 70</w:t>
      </w:r>
    </w:p>
    <w:p w:rsidR="00FE4286" w:rsidRDefault="00FE4286">
      <w:pPr>
        <w:pStyle w:val="ConsPlusNonformat"/>
        <w:widowControl/>
      </w:pPr>
      <w:r>
        <w:t xml:space="preserve">                         чел.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 xml:space="preserve">(в ред. </w:t>
      </w:r>
      <w:hyperlink r:id="rId13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Республики Хакасия от 05.10.2011 N 641)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1. Характеристика проблемы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Стратегическими приоритетами социально-экономического развития Республики Хакасия до 2020 года в области социальной защиты населения должна быть разработана нормативно-правовая база в части расширения мер социальной поддержки населения, в том числе создания </w:t>
      </w:r>
      <w:proofErr w:type="spellStart"/>
      <w:r>
        <w:rPr>
          <w:szCs w:val="26"/>
        </w:rPr>
        <w:t>безбарьерной</w:t>
      </w:r>
      <w:proofErr w:type="spellEnd"/>
      <w:r>
        <w:rPr>
          <w:szCs w:val="26"/>
        </w:rPr>
        <w:t xml:space="preserve"> среды жизнедеятельности для инвалидов.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На территории Республики Хакасия по состоянию на 01.06.2010 проживает более 37 тысяч инвалидов (почти 7% населения), в том числе 2103 ребенка-</w:t>
      </w:r>
      <w:r>
        <w:rPr>
          <w:szCs w:val="26"/>
        </w:rPr>
        <w:lastRenderedPageBreak/>
        <w:t>инвалида. К итогу 2009 года показатель полной реабилитации составил лишь 11,8%, показатель частичной реабилитации - 20,1%.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зрения; граждане с нарушениями слуха; граждане с нарушениями опорно-двигательного аппарата.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зданий, неприспособленность жилых помещений, отсутствие специально оборудованного общественного транспорта - все это создает непреодолимую для инвалидов преграду.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До последнего времени планировка и застройка в Республике Хакасия, формирование жилых и рекреационных зон, разработка проектных решений на новое строительство и реконструкцию зданий производились в основном без учета требований доступности для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населения. Большинство объектов социальной инфраструктуры, включая жилые дома, не имеют специальных приспособлений, подъемников, пандусов, облегчающих прохождение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граждан в здания.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большинство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граждан не имеют возможности передвижения. Транспортные коммуникации не приспособлены к возможностям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граждан. Переходная часть улиц в большинстве случаев не обеспечивает передвижение инвалидов в креслах-колясках. В местах наибольшего передвижения инвалидов на ряде светофоров отсутствуют сигнальные устройства, облегчающие переход через улицу инвалидов по зрению и слабовидящих граждан.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Все это является барьером для интеграции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граждан в общество.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В настоящее время нерешенность проблемы доступа инвалидов к среде жизнедеятельности порождает ряд серьезных социально-экономических последствий. Среди них: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дестимуляция</w:t>
      </w:r>
      <w:proofErr w:type="spellEnd"/>
      <w:r>
        <w:rPr>
          <w:szCs w:val="26"/>
        </w:rPr>
        <w:t xml:space="preserve"> социальной и трудовой активности инвалидов, негативно </w:t>
      </w:r>
      <w:proofErr w:type="gramStart"/>
      <w:r>
        <w:rPr>
          <w:szCs w:val="26"/>
        </w:rPr>
        <w:t>отражающаяся</w:t>
      </w:r>
      <w:proofErr w:type="gramEnd"/>
      <w:r>
        <w:rPr>
          <w:szCs w:val="26"/>
        </w:rPr>
        <w:t xml:space="preserve"> на занятости, образовательном и культурном уровне инвалидов и качестве их жизни. Это, в свою очередь, увеличивает потребность в бюджетных средствах для обеспечения доходов и предоставления инвалидам социальной поддержки в иных формах;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высокая социальная зависимость инвалидов, что осложняет проведение мероприятий по комплексной реабилитации, а также предопределяет возрастание спроса инвалидов на предоставление социальных услуг на дому;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ограничения жизнедеятельности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 (лиц преклонного возраста, временно нетрудоспособных, беременных женщин, людей с детскими колясками).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Данным тенденциям способствует наличие ряда недостатков в обеспечении доступности для инвалидов среды жизнедеятельности: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неэффективность взаимодействия органов государственной власти, органов местного самоуправления, бизнеса, общественных организаций инвалидов в области создания доступной среды;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- несоответствие выделяемых ресурсов масштабности и сложности задач обеспечения доступной среды для инвалидов;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отсутствие полной и достоверной информации о состоянии физического окружения, транспорта и связи с позиции доступности для инвалидов.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Таким образом, обеспечение доступности среды для инвалидов является одной из важнейших социально-экономических проблем, затрагивающей все общество в целом.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Реализация долгосрочной республиканской целевой программы "Доступная среда для инвалидов в Республике Хакасия (2011 - 2013 годы)" (далее - Программа) позволит создать условия для развития доступной среды жизнедеятельности для инвалидов на территории Республики Хакасия, а также основу для дальнейшего формирования доступной среды.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Целесообразность </w:t>
      </w:r>
      <w:proofErr w:type="gramStart"/>
      <w:r>
        <w:rPr>
          <w:szCs w:val="26"/>
        </w:rPr>
        <w:t>решения проблемы обеспечения доступности среды</w:t>
      </w:r>
      <w:proofErr w:type="gramEnd"/>
      <w:r>
        <w:rPr>
          <w:szCs w:val="26"/>
        </w:rPr>
        <w:t xml:space="preserve"> для инвалидов программным методом определяется следующими причинами: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высокая социальная значимость проблемы, в решении которой заинтересованы не только инвалиды, но и другие </w:t>
      </w:r>
      <w:proofErr w:type="spellStart"/>
      <w:r>
        <w:rPr>
          <w:szCs w:val="26"/>
        </w:rPr>
        <w:t>маломобильные</w:t>
      </w:r>
      <w:proofErr w:type="spellEnd"/>
      <w:r>
        <w:rPr>
          <w:szCs w:val="26"/>
        </w:rPr>
        <w:t xml:space="preserve"> группы населения, то есть четвертая часть населения;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комплексность проблемы. Для ее решения потребуется решение различных по содержанию задач научно-методического, финансового, информационного, организационного характера;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межведомственный характер решения проблемы. Потребуется объединение усилий и координация действий органов республиканской власти, органов местного самоуправления, общественных объединений;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долгосрочность решения проблемы. Проблема создания доступности социальной среды может быть решена только путем осуществления последовательных и взаимосвязанных мероприятий.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proofErr w:type="gramStart"/>
      <w:r>
        <w:rPr>
          <w:szCs w:val="26"/>
        </w:rPr>
        <w:t>Таким образом, необходимость комплексного решения проблем, связанных с инвалидностью, программно-целевым методом обусловлена рядом объективных причин, в том числе масштабностью, сложностью и многообразием проблем реабилитации инвалидов и интеграции их в общество,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исполнителям;</w:t>
      </w:r>
      <w:proofErr w:type="gramEnd"/>
      <w:r>
        <w:rPr>
          <w:szCs w:val="26"/>
        </w:rPr>
        <w:t xml:space="preserve"> необходимостью выполнения в рамках единой программы крупных по объему и требующих длительных сроков реализации программных мероприятиях; потребностью в координации усилий органов республиканской, муниципальной власти и общественных объединений инвалидов.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2. Цель и задачи Программы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Целью Программы является формирование условий устойчивого развития доступной среды для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Программа предусматривает решение следующих задач: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изучение и анализ доступности среды для инвалидов и других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 на территории Республики Хакасия;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обеспечение доступности в приоритетных сферах жизнедеятельности инвалидов и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развитие предоставления услуг в сфере </w:t>
      </w:r>
      <w:proofErr w:type="spellStart"/>
      <w:r>
        <w:rPr>
          <w:szCs w:val="26"/>
        </w:rPr>
        <w:t>социокультурной</w:t>
      </w:r>
      <w:proofErr w:type="spellEnd"/>
      <w:r>
        <w:rPr>
          <w:szCs w:val="26"/>
        </w:rPr>
        <w:t xml:space="preserve"> реабилитации, социального обслуживания.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Срок реализации Программы - 2011 - 2013 годы.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3. Перечень программных мероприятий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планируется по трем направлениям: организационно-методическая и информационная деятельность, обеспечение доступности среды в приоритетных сферах жизнедеятельности инвалидов и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групп населения, развитие предоставления услуг в сфере </w:t>
      </w:r>
      <w:proofErr w:type="spellStart"/>
      <w:r>
        <w:rPr>
          <w:szCs w:val="26"/>
        </w:rPr>
        <w:t>социокультурной</w:t>
      </w:r>
      <w:proofErr w:type="spellEnd"/>
      <w:r>
        <w:rPr>
          <w:szCs w:val="26"/>
        </w:rPr>
        <w:t xml:space="preserve"> реабилитации и социального обслуживания (приложение).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4. Обоснование ресурсного обеспечения Программы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 xml:space="preserve">(в ред. </w:t>
      </w:r>
      <w:hyperlink r:id="rId14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от 05.10.2011 N 641)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1080"/>
        <w:gridCol w:w="945"/>
        <w:gridCol w:w="945"/>
        <w:gridCol w:w="945"/>
      </w:tblGrid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денежных средств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социального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развития Республики Хакасия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13590,0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5563,0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6711,0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культуры Республики Хакасия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образования и науки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Хакасия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7051,0</w:t>
            </w:r>
          </w:p>
        </w:tc>
      </w:tr>
    </w:tbl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Затраты на выполнение мероприятий по формированию </w:t>
      </w:r>
      <w:proofErr w:type="gramStart"/>
      <w:r>
        <w:rPr>
          <w:szCs w:val="26"/>
        </w:rPr>
        <w:t>доступности территориальных управлений социальной поддержки населения Республики</w:t>
      </w:r>
      <w:proofErr w:type="gramEnd"/>
      <w:r>
        <w:rPr>
          <w:szCs w:val="26"/>
        </w:rPr>
        <w:t xml:space="preserve"> Хакасия, республиканских специальных (коррекционных) образовательных учреждений составят 1730,0 тыс. рублей. На оказание финансовой поддержки уставной деятельности республиканских общественных объединений ветеранов и инвалидов будет направлено 2480,0 тыс. рублей; на оказание материальной помощи для приспособления жилого помещения инвалидам, передвигающимся на колясках, планируется направить 6000,0 тыс. рублей. Прочие расходы составят 4610,0 тыс. рублей, планируется развитие предоставления услуг в сфере </w:t>
      </w:r>
      <w:proofErr w:type="spellStart"/>
      <w:r>
        <w:rPr>
          <w:szCs w:val="26"/>
        </w:rPr>
        <w:t>социокультурной</w:t>
      </w:r>
      <w:proofErr w:type="spellEnd"/>
      <w:r>
        <w:rPr>
          <w:szCs w:val="26"/>
        </w:rPr>
        <w:t xml:space="preserve"> реабилитации и социального обслуживания людей с ограниченными возможностями.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5. Механизм реализации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 xml:space="preserve">(в ред. </w:t>
      </w:r>
      <w:hyperlink r:id="rId15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от 05.10.2011 N 641)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proofErr w:type="gramStart"/>
      <w:r>
        <w:rPr>
          <w:szCs w:val="26"/>
        </w:rPr>
        <w:t xml:space="preserve">Министерство труда и социального развития Республики Хакасия как государственный заказчик-координатор обеспечивает координацию деятельности государственных заказчиков Программы, проводит анализ по рациональному использованию финансовых ресурсов Программы, совместно с государственными </w:t>
      </w:r>
      <w:r>
        <w:rPr>
          <w:szCs w:val="26"/>
        </w:rPr>
        <w:lastRenderedPageBreak/>
        <w:t>заказчиками Программы осуществляет подготовку и представление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средств.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Государственные заказчики Программы с учетом выделяемых на ее реализацию финансовых средств ежегодно уточняют целевые индикаторы и показатели, затраты по мероприятиям Программы, механизм реализации и состав исполнителей.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Государственные заказчики Программы осуществляют в установленном порядке меры по выполнению Программы.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Порядок </w:t>
      </w:r>
      <w:proofErr w:type="gramStart"/>
      <w:r>
        <w:rPr>
          <w:szCs w:val="26"/>
        </w:rPr>
        <w:t>оказания финансовой поддержки уставной деятельности республиканских общественных объединений ветеранов</w:t>
      </w:r>
      <w:proofErr w:type="gramEnd"/>
      <w:r>
        <w:rPr>
          <w:szCs w:val="26"/>
        </w:rPr>
        <w:t xml:space="preserve"> и инвалидов, Порядок и условия оказания материальной помощи для приспособления жилого помещения инвалидам, передвигающимся на колясках, а также Положение о предоставлении грантов на оказание услуги "Социальное такси" инвалидам с нарушением опорно-двигательного аппарата устанавливаются Правительством Республики Хакасия.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К участию в реализации Программы привлекаются исполнительные органы государственной власти Республики Хакасия, государственные автономные и бюджетные учреждения Республики Хакасия. Распределение бюджетных ассигнований в разрезе получателей по субсидиям, выделенным на выполнение государственного задания, а также субсидиям бюджетным и автономным учреждениям на иные цели утверждается приказами главных распорядителей бюджетных средств.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 xml:space="preserve">(абзац введен </w:t>
      </w:r>
      <w:hyperlink r:id="rId16" w:history="1">
        <w:r>
          <w:rPr>
            <w:color w:val="0000FF"/>
            <w:szCs w:val="26"/>
          </w:rPr>
          <w:t>Постановлением</w:t>
        </w:r>
      </w:hyperlink>
      <w:r>
        <w:rPr>
          <w:szCs w:val="26"/>
        </w:rPr>
        <w:t xml:space="preserve"> Правительства Республики Хакасия от 16.11.2011 N 770)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6"/>
        </w:rPr>
      </w:pPr>
      <w:r>
        <w:rPr>
          <w:szCs w:val="26"/>
        </w:rPr>
        <w:t>6. Оценка эффективности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 xml:space="preserve">(в ред. </w:t>
      </w:r>
      <w:hyperlink r:id="rId17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от 05.10.2011 N 641)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Программа относится к числу программ, имеющих важное социально-экономическое значение.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Для оценки эффективности Программы используются следующие показатели результативности (целевые индикаторы):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удельный вес жилых помещений, в которых проживают люди с нарушением опорно-двигательного аппарата, в которых проведена паспортизация, в том числе по годам: 2011 - 35%, 2012 - 65%, 2013 - 95%;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количество </w:t>
      </w:r>
      <w:proofErr w:type="gramStart"/>
      <w:r>
        <w:rPr>
          <w:szCs w:val="26"/>
        </w:rPr>
        <w:t>помещений территориальных управлений социальной поддержки населения Республики</w:t>
      </w:r>
      <w:proofErr w:type="gramEnd"/>
      <w:r>
        <w:rPr>
          <w:szCs w:val="26"/>
        </w:rPr>
        <w:t xml:space="preserve"> Хакасия, оборудованных для нужд инвалидов, в том числе по годам: 2011 - 1 единица, 2012 - 1 единица, 2013 - 2 единицы;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количество лиц, не имеющих группы инвалидности, получивших 50% скидку на протезирование, протезно-ортопедические изделия, в том числе по годам: 2011 - 30 чел., 2012 - 30 чел., 2013 - 30 чел.;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количество республиканских специальных (коррекционных) образовательных учреждений, оборудованных пандусами, подъездами, в том числе по годам: 2011 - 1 единица, 2012 - 2 единицы, 2013 - 1 единица;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lastRenderedPageBreak/>
        <w:t>- количество специалистов, работающих с инвалидами в системе социальной защиты населения, повысивших уровень своей квалификации, в том числе по годам: 2012 - 20 чел., 2013 - 20 чел.;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количество инвалидов с нарушением опорно-двигательного аппарата, получивших транспортные услуги, в том числе по годам: 2012 - 560 чел., 2013 - 840 чел.;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количество инвалидов, передвигающихся на колясках, получивших материальную помощь для приспособления жилого помещения, в том числе по годам: 2012 - 100 чел., 2013 - 100 чел.;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- количество инвалидов, принявших участие в </w:t>
      </w:r>
      <w:proofErr w:type="spellStart"/>
      <w:r>
        <w:rPr>
          <w:szCs w:val="26"/>
        </w:rPr>
        <w:t>социокультурных</w:t>
      </w:r>
      <w:proofErr w:type="spellEnd"/>
      <w:r>
        <w:rPr>
          <w:szCs w:val="26"/>
        </w:rPr>
        <w:t xml:space="preserve"> мероприятиях, в том числе по годам: 2011 - 300 чел., 2012 - 330 чел., 2013 - 360 чел.;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- количество инвалидов, принявших участие в физкультурно-оздоровительных мероприятиях, в том числе по годам: 2011 - 60 чел., 2012 - 65 чел., 2013 - 70 чел.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  <w:sectPr w:rsidR="00FE4286" w:rsidSect="00995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outlineLvl w:val="1"/>
        <w:rPr>
          <w:szCs w:val="26"/>
        </w:rPr>
      </w:pPr>
      <w:r>
        <w:rPr>
          <w:szCs w:val="26"/>
        </w:rPr>
        <w:t>Приложение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к долгосрочной республиканской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целевой программе "</w:t>
      </w:r>
      <w:proofErr w:type="gramStart"/>
      <w:r>
        <w:rPr>
          <w:szCs w:val="26"/>
        </w:rPr>
        <w:t>Доступная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среда для инвалидов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в Республике Хакасия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right"/>
        <w:rPr>
          <w:szCs w:val="26"/>
        </w:rPr>
      </w:pPr>
      <w:r>
        <w:rPr>
          <w:szCs w:val="26"/>
        </w:rPr>
        <w:t>(2011 - 2013 годы)"</w:t>
      </w:r>
    </w:p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ПЕРЕЧЕНЬ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программных мероприятий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proofErr w:type="gramStart"/>
      <w:r>
        <w:rPr>
          <w:szCs w:val="26"/>
        </w:rPr>
        <w:t xml:space="preserve">(в ред. </w:t>
      </w:r>
      <w:hyperlink r:id="rId18" w:history="1">
        <w:r>
          <w:rPr>
            <w:color w:val="0000FF"/>
            <w:szCs w:val="26"/>
          </w:rPr>
          <w:t>Постановления</w:t>
        </w:r>
      </w:hyperlink>
      <w:r>
        <w:rPr>
          <w:szCs w:val="26"/>
        </w:rPr>
        <w:t xml:space="preserve"> Правительства Республики Хакасия</w:t>
      </w:r>
      <w:proofErr w:type="gramEnd"/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>
        <w:rPr>
          <w:szCs w:val="26"/>
        </w:rPr>
        <w:t>от 16.11.2011 N 770)</w:t>
      </w:r>
    </w:p>
    <w:p w:rsidR="00FE4286" w:rsidRDefault="00FE4286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00"/>
        <w:gridCol w:w="2295"/>
        <w:gridCol w:w="1620"/>
        <w:gridCol w:w="1215"/>
        <w:gridCol w:w="1215"/>
        <w:gridCol w:w="1215"/>
        <w:gridCol w:w="1215"/>
        <w:gridCol w:w="2160"/>
      </w:tblGrid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годы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(тыс. рублей)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(прогноз)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Организационно-методическая и информационная деятельность                 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системы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объективных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критериев и методов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доступности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объектов социальной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инфраструктуры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населения,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разработанных в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рамках реализации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"Доступная среда"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на 2011 - 2015 годы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труда 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развития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Хакасия (далее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Минтруд РХ)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проведение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семинаров со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специалистами 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представителями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общественных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объединений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по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вопросам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проведению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анализа,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паспортизации жилых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помещений, 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которых проживают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люди с нарушением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двигательного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аппарата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заинтересованные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министерства 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ведомства,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муниципальные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общественные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(по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согласованию)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проведение анализа,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паспортизации жилых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помещений, 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которых проживают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люди с нарушением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двигательного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аппарата, с целью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изучения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потребности в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приспособлении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жилого помещения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нуждам инвалида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общественные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(по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согласованию)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Координационного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совета по делам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инвалидов и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старшего поколения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 Правительстве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(по отдельному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плану)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выпуск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информационного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издания,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посвященного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проблемам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доступности среды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заинтересованные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министерства 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ведомства,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муниципальные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общественные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(по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согласованию)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сметное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доступности среды в приоритетных сферах жизнедеятельности инвалидов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населения                                          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9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доступности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(приспособление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входных групп,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лестниц,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пандусных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съездов, зон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оказания социальных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территориальных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Хакасия):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г.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г.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Сорск; Управление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поддержки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доступности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образования, в 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числе строительство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пандусов, подъездов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республиканских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специальных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(коррекционных)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учреждениях: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РГОУ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"Специальная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(коррекционная)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общеобразовательная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школа-интернат I,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II видов"; РГОУ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"Специальная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(коррекционная)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общеобразовательная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школа-интернат III,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IV видов"; РГОУ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"Черногорская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специальная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(коррекционная)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школа-интернат";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РГОУ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специальная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(коррекционная)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школа-интернат"    </w:t>
            </w:r>
            <w:proofErr w:type="gramEnd"/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медицинским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показаниям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протезн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ортопедическими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изделиями лиц, не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имеющих группы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инвалидности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финансовой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поддержки уставной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деятельности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республиканских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общественных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объединений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ветеранов 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общественным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размещение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социальной рекламы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формированию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позитивного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отношения к людям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ограниченными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возможностями,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созданию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психологической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среды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жизнедеятельности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91,0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квалификации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специалистов,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работающих с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инвалидами в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системе социальной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защиты населения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инвалидам,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передвигающимся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колясках, в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приспособлении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жилого помещения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субсидии на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оказание услуги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"Социальное такси"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инвалидам с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двигательного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аппарата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субсидии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юридическим лицам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(кроме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учреждений)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физическим лицам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13639,0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5778,0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6621,0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финансирование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8959,0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3948,0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3771,0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общественным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юридическим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(кроме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государственных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учреждений) и физическим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предоставления услуг в сфере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и социального обслуживания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справочн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информационного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центра "Рука в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руке" для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детей-инвалидов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зрению дошкольного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младшего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школьного возраста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их родителей в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Хакасской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специальной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библиотеке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слепых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культуры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Хакасия (далее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Минкультуры РХ),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баз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данных цифровых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"говорящих" книг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криптозащитой,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выпускаемых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специализированным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издательством ВОС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инвалидов по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зрению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Минкультуры РХ,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субсидия по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заданию бюджетному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расходных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материалов и запись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"говорящих" книг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краеведческого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характера для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инвалидов по зрению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Минкультуры РХ,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субсидия по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заданию бюджетному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фонда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Хакасской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специальной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библиотеки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слепых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Минкультуры РХ,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субсидия по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заданию бюджетному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празднованию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85-летия Хакасского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регионального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отделения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"Всероссийское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общество глухих"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по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празднованию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20-летия Хакасской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общероссийской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"Всероссийское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ордена Трудового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Красного Знамени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общество слепых"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профессионального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мастерства среди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социальных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Хакасия,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обслуживающих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пожилых и инвалидов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сметное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доступности для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людей с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ограниченными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возможностями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спортивных и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Минкультуры РХ,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проведение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республиканской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спартакиады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инвалидов с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нарушениями/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заболеваниями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опорн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двигательного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аппарата - всего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Минтруд РХ,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   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иные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цели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автономному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проведение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фестиваля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творчества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людей с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ограниченными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возможностями -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Минкультуры РХ,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2011 - 2012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   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по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заданию бюджетному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1091,0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финансирование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по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государственному заданию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бюджетному учреждению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Субсидия на иные цели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автономному учреждению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14820,0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6053,0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7051,0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финансирование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9585,0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3948,0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3921,0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общественным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юридическим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(кроме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государственных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учреждений) и физическим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по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государственному заданию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бюджетному учреждению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иные цели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автономному учреждению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государственным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заказчикам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социального развития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Хакасия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13590,0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5563,0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6711,0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финансирование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8735,0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1316,0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3648,0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3771,0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общественным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организациям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Субсидии юридическим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(кроме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государственных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учреждений) и физическим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лицам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иные цели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государственному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автономному учреждению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Хакасия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630,0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   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Сметное финансирование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по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государственному заданию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бюджетному учреждению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науки Республики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Хакасия     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ресбюджет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FE42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сметное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финансирование         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150,0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286" w:rsidRDefault="00FE42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286" w:rsidRDefault="00FE4286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6"/>
        </w:rPr>
      </w:pPr>
    </w:p>
    <w:sectPr w:rsidR="00FE4286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86"/>
    <w:rsid w:val="00005477"/>
    <w:rsid w:val="00010F58"/>
    <w:rsid w:val="00017F93"/>
    <w:rsid w:val="00031AC3"/>
    <w:rsid w:val="00036313"/>
    <w:rsid w:val="00046644"/>
    <w:rsid w:val="00051E25"/>
    <w:rsid w:val="000720EF"/>
    <w:rsid w:val="00074AB8"/>
    <w:rsid w:val="00077A6D"/>
    <w:rsid w:val="00081307"/>
    <w:rsid w:val="000E3D69"/>
    <w:rsid w:val="00123777"/>
    <w:rsid w:val="00154642"/>
    <w:rsid w:val="00194BA0"/>
    <w:rsid w:val="001F237D"/>
    <w:rsid w:val="00204F37"/>
    <w:rsid w:val="0026355A"/>
    <w:rsid w:val="002721A9"/>
    <w:rsid w:val="00275C41"/>
    <w:rsid w:val="00295CF4"/>
    <w:rsid w:val="002A6CFB"/>
    <w:rsid w:val="002D598E"/>
    <w:rsid w:val="003232B3"/>
    <w:rsid w:val="00326460"/>
    <w:rsid w:val="003307C1"/>
    <w:rsid w:val="003632CC"/>
    <w:rsid w:val="0037044E"/>
    <w:rsid w:val="003A3AD6"/>
    <w:rsid w:val="003C17FA"/>
    <w:rsid w:val="003D6220"/>
    <w:rsid w:val="0040302B"/>
    <w:rsid w:val="004246A4"/>
    <w:rsid w:val="00440BA9"/>
    <w:rsid w:val="0044528A"/>
    <w:rsid w:val="00447075"/>
    <w:rsid w:val="0045402E"/>
    <w:rsid w:val="00455538"/>
    <w:rsid w:val="004D6C93"/>
    <w:rsid w:val="0054397A"/>
    <w:rsid w:val="00552D7D"/>
    <w:rsid w:val="0058159D"/>
    <w:rsid w:val="00585DA9"/>
    <w:rsid w:val="005900CC"/>
    <w:rsid w:val="005A7213"/>
    <w:rsid w:val="005B4722"/>
    <w:rsid w:val="005E00A1"/>
    <w:rsid w:val="005F0240"/>
    <w:rsid w:val="0064359B"/>
    <w:rsid w:val="006548A2"/>
    <w:rsid w:val="00655C0B"/>
    <w:rsid w:val="00657877"/>
    <w:rsid w:val="006650E7"/>
    <w:rsid w:val="00670536"/>
    <w:rsid w:val="006A5C7B"/>
    <w:rsid w:val="00717461"/>
    <w:rsid w:val="00720FAE"/>
    <w:rsid w:val="00726B3A"/>
    <w:rsid w:val="0073474C"/>
    <w:rsid w:val="00756F6F"/>
    <w:rsid w:val="00803DBA"/>
    <w:rsid w:val="00813EBC"/>
    <w:rsid w:val="00820FA2"/>
    <w:rsid w:val="008310D4"/>
    <w:rsid w:val="00831B16"/>
    <w:rsid w:val="00834CB5"/>
    <w:rsid w:val="008466DD"/>
    <w:rsid w:val="0085157F"/>
    <w:rsid w:val="008538BA"/>
    <w:rsid w:val="00874A40"/>
    <w:rsid w:val="00885DD0"/>
    <w:rsid w:val="00887659"/>
    <w:rsid w:val="00890524"/>
    <w:rsid w:val="008B4C0A"/>
    <w:rsid w:val="008F4BC3"/>
    <w:rsid w:val="009013EB"/>
    <w:rsid w:val="00965B3C"/>
    <w:rsid w:val="0099059F"/>
    <w:rsid w:val="00991130"/>
    <w:rsid w:val="009C2E2F"/>
    <w:rsid w:val="009C7216"/>
    <w:rsid w:val="009E0456"/>
    <w:rsid w:val="009E45BA"/>
    <w:rsid w:val="009F0B5D"/>
    <w:rsid w:val="009F1EDD"/>
    <w:rsid w:val="009F3FCD"/>
    <w:rsid w:val="00A224AE"/>
    <w:rsid w:val="00A82895"/>
    <w:rsid w:val="00A84936"/>
    <w:rsid w:val="00AA44BE"/>
    <w:rsid w:val="00AA7734"/>
    <w:rsid w:val="00AB7ABE"/>
    <w:rsid w:val="00AD1956"/>
    <w:rsid w:val="00AD4866"/>
    <w:rsid w:val="00AF6021"/>
    <w:rsid w:val="00B11CD4"/>
    <w:rsid w:val="00B144F4"/>
    <w:rsid w:val="00B22EA5"/>
    <w:rsid w:val="00B31851"/>
    <w:rsid w:val="00B40ABC"/>
    <w:rsid w:val="00B43DFA"/>
    <w:rsid w:val="00B44E4F"/>
    <w:rsid w:val="00B549D9"/>
    <w:rsid w:val="00B72E59"/>
    <w:rsid w:val="00B7315C"/>
    <w:rsid w:val="00B76AFB"/>
    <w:rsid w:val="00B940FA"/>
    <w:rsid w:val="00B96714"/>
    <w:rsid w:val="00C14983"/>
    <w:rsid w:val="00C21AB4"/>
    <w:rsid w:val="00C638D3"/>
    <w:rsid w:val="00C670C0"/>
    <w:rsid w:val="00C91DEC"/>
    <w:rsid w:val="00CD5070"/>
    <w:rsid w:val="00CD744E"/>
    <w:rsid w:val="00CF18CE"/>
    <w:rsid w:val="00D2095B"/>
    <w:rsid w:val="00D46BBE"/>
    <w:rsid w:val="00D65807"/>
    <w:rsid w:val="00D672BE"/>
    <w:rsid w:val="00D921B7"/>
    <w:rsid w:val="00DA580C"/>
    <w:rsid w:val="00DC2B59"/>
    <w:rsid w:val="00DC31B2"/>
    <w:rsid w:val="00DF0F3B"/>
    <w:rsid w:val="00E01368"/>
    <w:rsid w:val="00E34A91"/>
    <w:rsid w:val="00E364AE"/>
    <w:rsid w:val="00E445A2"/>
    <w:rsid w:val="00E5140D"/>
    <w:rsid w:val="00E53255"/>
    <w:rsid w:val="00E63730"/>
    <w:rsid w:val="00E840E0"/>
    <w:rsid w:val="00E871A0"/>
    <w:rsid w:val="00EB0AE0"/>
    <w:rsid w:val="00EC1B2C"/>
    <w:rsid w:val="00F460B4"/>
    <w:rsid w:val="00F56BDE"/>
    <w:rsid w:val="00F859FF"/>
    <w:rsid w:val="00F916DA"/>
    <w:rsid w:val="00FA3164"/>
    <w:rsid w:val="00FB2926"/>
    <w:rsid w:val="00FC6425"/>
    <w:rsid w:val="00FE3DA4"/>
    <w:rsid w:val="00FE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286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428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/>
      <w:bCs/>
      <w:szCs w:val="26"/>
      <w:lang w:eastAsia="ru-RU"/>
    </w:rPr>
  </w:style>
  <w:style w:type="paragraph" w:customStyle="1" w:styleId="ConsPlusCell">
    <w:name w:val="ConsPlusCell"/>
    <w:uiPriority w:val="99"/>
    <w:rsid w:val="00FE428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F9FEABEB8BF39C76FC75E41A3E07DE4701A960D9DE630B0BCF9AAD04CF16A1CFC51C61A67D7E2CCA6Dd3jFG" TargetMode="External"/><Relationship Id="rId13" Type="http://schemas.openxmlformats.org/officeDocument/2006/relationships/hyperlink" Target="consultantplus://offline/ref=171CF9FEABEB8BF39C76FC75E41A3E07DE4701A960D9DE630B0BCF9AAD04CF16A1CFC51C61A67D7E2CCA6Cd3jBG" TargetMode="External"/><Relationship Id="rId18" Type="http://schemas.openxmlformats.org/officeDocument/2006/relationships/hyperlink" Target="consultantplus://offline/ref=171CF9FEABEB8BF39C76FC75E41A3E07DE4701A960DAD368020BCF9AAD04CF16A1CFC51C61A67D7E2CCA6Dd3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CF9FEABEB8BF39C76FC75E41A3E07DE4701A960DAD3630C0BCF9AAD04CF16A1CFC51C61A67D7E2CCA6Dd3j3G" TargetMode="External"/><Relationship Id="rId12" Type="http://schemas.openxmlformats.org/officeDocument/2006/relationships/hyperlink" Target="consultantplus://offline/ref=171CF9FEABEB8BF39C76FC75E41A3E07DE4701A960D9DE630B0BCF9AAD04CF16A1CFC51C61A67D7E2CCA6Dd3j3G" TargetMode="External"/><Relationship Id="rId17" Type="http://schemas.openxmlformats.org/officeDocument/2006/relationships/hyperlink" Target="consultantplus://offline/ref=171CF9FEABEB8BF39C76FC75E41A3E07DE4701A960D9DE630B0BCF9AAD04CF16A1CFC51C61A67D7E2CCA6Fd3j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CF9FEABEB8BF39C76FC75E41A3E07DE4701A960DAD368020BCF9AAD04CF16A1CFC51C61A67D7E2CCA6Dd3j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CF9FEABEB8BF39C76FC75E41A3E07DE4701A960DBD562020BCF9AAD04CF16dAj1G" TargetMode="External"/><Relationship Id="rId11" Type="http://schemas.openxmlformats.org/officeDocument/2006/relationships/hyperlink" Target="consultantplus://offline/ref=171CF9FEABEB8BF39C76FC75E41A3E07DE4701A960D9DE630B0BCF9AAD04CF16A1CFC51C61A67D7E2CCA6Dd3jDG" TargetMode="External"/><Relationship Id="rId5" Type="http://schemas.openxmlformats.org/officeDocument/2006/relationships/hyperlink" Target="consultantplus://offline/ref=171CF9FEABEB8BF39C76FC75E41A3E07DE4701A960DAD368020BCF9AAD04CF16A1CFC51C61A67D7E2CCA6Dd3jFG" TargetMode="External"/><Relationship Id="rId15" Type="http://schemas.openxmlformats.org/officeDocument/2006/relationships/hyperlink" Target="consultantplus://offline/ref=171CF9FEABEB8BF39C76FC75E41A3E07DE4701A960D9DE630B0BCF9AAD04CF16A1CFC51C61A67D7E2CCA6Fd3j8G" TargetMode="External"/><Relationship Id="rId10" Type="http://schemas.openxmlformats.org/officeDocument/2006/relationships/hyperlink" Target="consultantplus://offline/ref=171CF9FEABEB8BF39C76FC75E41A3E07DE4701A960DCD76B0E0BCF9AAD04CF16dAj1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71CF9FEABEB8BF39C76FC75E41A3E07DE4701A960D9DE630B0BCF9AAD04CF16A1CFC51C61A67D7E2CCA6Dd3jFG" TargetMode="External"/><Relationship Id="rId9" Type="http://schemas.openxmlformats.org/officeDocument/2006/relationships/hyperlink" Target="consultantplus://offline/ref=171CF9FEABEB8BF39C76FC75E41A3E07DE4701A960DAD368020BCF9AAD04CF16A1CFC51C61A67D7E2CCA6Dd3jFG" TargetMode="External"/><Relationship Id="rId14" Type="http://schemas.openxmlformats.org/officeDocument/2006/relationships/hyperlink" Target="consultantplus://offline/ref=171CF9FEABEB8BF39C76FC75E41A3E07DE4701A960D9DE630B0BCF9AAD04CF16A1CFC51C61A67D7E2CCA6Cd3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5414</Words>
  <Characters>30864</Characters>
  <Application>Microsoft Office Word</Application>
  <DocSecurity>0</DocSecurity>
  <Lines>257</Lines>
  <Paragraphs>72</Paragraphs>
  <ScaleCrop>false</ScaleCrop>
  <Company/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2012-03-06T06:35:00Z</dcterms:created>
  <dcterms:modified xsi:type="dcterms:W3CDTF">2012-03-06T06:36:00Z</dcterms:modified>
</cp:coreProperties>
</file>